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87" w:rsidRPr="00B83D8B" w:rsidRDefault="00AB6F63" w:rsidP="0055272E">
      <w:pPr>
        <w:spacing w:after="0" w:line="240" w:lineRule="auto"/>
        <w:ind w:left="2160"/>
        <w:rPr>
          <w:rFonts w:ascii="Arial Black" w:hAnsi="Arial Black"/>
          <w:b/>
          <w:color w:val="990033"/>
          <w:sz w:val="40"/>
          <w:szCs w:val="40"/>
        </w:rPr>
      </w:pPr>
      <w:bookmarkStart w:id="0" w:name="_GoBack"/>
      <w:bookmarkEnd w:id="0"/>
      <w:r w:rsidRPr="00B83D8B">
        <w:rPr>
          <w:noProof/>
          <w:sz w:val="40"/>
          <w:szCs w:val="40"/>
        </w:rPr>
        <w:drawing>
          <wp:anchor distT="0" distB="0" distL="114300" distR="114300" simplePos="0" relativeHeight="251658240" behindDoc="1" locked="0" layoutInCell="1" allowOverlap="1" wp14:anchorId="1290917F" wp14:editId="4F2A8396">
            <wp:simplePos x="0" y="0"/>
            <wp:positionH relativeFrom="margin">
              <wp:posOffset>-542925</wp:posOffset>
            </wp:positionH>
            <wp:positionV relativeFrom="margin">
              <wp:posOffset>-638175</wp:posOffset>
            </wp:positionV>
            <wp:extent cx="1447800" cy="1315720"/>
            <wp:effectExtent l="0" t="0" r="0" b="0"/>
            <wp:wrapSquare wrapText="bothSides"/>
            <wp:docPr id="1" name="Picture 1" descr="\\phooaee4srvip08\data$\COMMON\Resources for OA staff\Logos\OA Logo\OA_Logo_600x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oaee4srvip08\data$\COMMON\Resources for OA staff\Logos\OA Logo\OA_Logo_600x39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F34" w:rsidRPr="00B83D8B">
        <w:rPr>
          <w:noProof/>
          <w:color w:val="215868" w:themeColor="accent5" w:themeShade="80"/>
          <w:sz w:val="40"/>
          <w:szCs w:val="40"/>
        </w:rPr>
        <mc:AlternateContent>
          <mc:Choice Requires="wpg">
            <w:drawing>
              <wp:anchor distT="0" distB="0" distL="114300" distR="114300" simplePos="0" relativeHeight="251663360" behindDoc="0" locked="0" layoutInCell="1" allowOverlap="1" wp14:anchorId="2D06F227" wp14:editId="7E8481C7">
                <wp:simplePos x="0" y="0"/>
                <wp:positionH relativeFrom="page">
                  <wp:posOffset>12836018</wp:posOffset>
                </wp:positionH>
                <wp:positionV relativeFrom="page">
                  <wp:posOffset>161925</wp:posOffset>
                </wp:positionV>
                <wp:extent cx="3340607" cy="9427132"/>
                <wp:effectExtent l="0" t="0" r="0" b="3175"/>
                <wp:wrapNone/>
                <wp:docPr id="43" name="Group 43"/>
                <wp:cNvGraphicFramePr/>
                <a:graphic xmlns:a="http://schemas.openxmlformats.org/drawingml/2006/main">
                  <a:graphicData uri="http://schemas.microsoft.com/office/word/2010/wordprocessingGroup">
                    <wpg:wgp>
                      <wpg:cNvGrpSpPr/>
                      <wpg:grpSpPr>
                        <a:xfrm>
                          <a:off x="0" y="0"/>
                          <a:ext cx="3340607" cy="9427132"/>
                          <a:chOff x="71919" y="0"/>
                          <a:chExt cx="2331720" cy="9427131"/>
                        </a:xfrm>
                      </wpg:grpSpPr>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38FD" w:rsidRDefault="009638F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38FD" w:rsidRDefault="009638F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06F227" id="Group 43" o:spid="_x0000_s1026" style="position:absolute;left:0;text-align:left;margin-left:1010.7pt;margin-top:12.75pt;width:263.05pt;height:742.3pt;z-index:251663360;mso-position-horizontal-relative:page;mso-position-vertical-relative:page" coordorigin="719" coordsize="2331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">
                <v:rect id="Rectangle 45" o:spid="_x0000_s1027"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9638FD" w:rsidRDefault="009638FD">
                        <w:pPr>
                          <w:spacing w:before="240"/>
                          <w:rPr>
                            <w:color w:val="FFFFFF" w:themeColor="background1"/>
                            <w:lang w:bidi="hi-IN"/>
                          </w:rPr>
                        </w:pPr>
                      </w:p>
                    </w:txbxContent>
                  </v:textbox>
                </v:rect>
                <v:rect id="Rectangle 46"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9638FD" w:rsidRDefault="009638FD">
                        <w:pPr>
                          <w:spacing w:before="240"/>
                          <w:rPr>
                            <w:color w:val="FFFFFF" w:themeColor="background1"/>
                            <w:lang w:bidi="hi-IN"/>
                          </w:rPr>
                        </w:pPr>
                      </w:p>
                    </w:txbxContent>
                  </v:textbox>
                </v:rect>
                <w10:wrap anchorx="page" anchory="page"/>
              </v:group>
            </w:pict>
          </mc:Fallback>
        </mc:AlternateContent>
      </w:r>
      <w:r w:rsidR="00B83D8B" w:rsidRPr="00B83D8B">
        <w:rPr>
          <w:rFonts w:ascii="Arial Black" w:hAnsi="Arial Black"/>
          <w:b/>
          <w:color w:val="990033"/>
          <w:sz w:val="40"/>
          <w:szCs w:val="40"/>
        </w:rPr>
        <w:t>Non-Prescription Syringe</w:t>
      </w:r>
      <w:r w:rsidR="00F737D6">
        <w:rPr>
          <w:rFonts w:ascii="Arial Black" w:hAnsi="Arial Black"/>
          <w:b/>
          <w:color w:val="990033"/>
          <w:sz w:val="40"/>
          <w:szCs w:val="40"/>
        </w:rPr>
        <w:t xml:space="preserve"> Sale: Changes to California</w:t>
      </w:r>
      <w:r w:rsidR="0055272E">
        <w:rPr>
          <w:rFonts w:ascii="Arial Black" w:hAnsi="Arial Black"/>
          <w:b/>
          <w:color w:val="990033"/>
          <w:sz w:val="40"/>
          <w:szCs w:val="40"/>
        </w:rPr>
        <w:t xml:space="preserve"> Law</w:t>
      </w:r>
    </w:p>
    <w:p w:rsidR="0055272E" w:rsidRPr="0055272E" w:rsidRDefault="0055272E" w:rsidP="0055272E">
      <w:pPr>
        <w:ind w:left="360"/>
        <w:rPr>
          <w:b/>
          <w:color w:val="215868" w:themeColor="accent5" w:themeShade="80"/>
          <w:sz w:val="23"/>
          <w:szCs w:val="23"/>
        </w:rPr>
      </w:pPr>
    </w:p>
    <w:p w:rsidR="00FA0DDB" w:rsidRPr="0055272E" w:rsidRDefault="0055272E" w:rsidP="0055272E">
      <w:pPr>
        <w:rPr>
          <w:b/>
          <w:color w:val="215868" w:themeColor="accent5" w:themeShade="80"/>
          <w:sz w:val="23"/>
          <w:szCs w:val="23"/>
        </w:rPr>
      </w:pPr>
      <w:r>
        <w:rPr>
          <w:color w:val="215868" w:themeColor="accent5" w:themeShade="80"/>
          <w:sz w:val="23"/>
          <w:szCs w:val="23"/>
        </w:rPr>
        <w:t xml:space="preserve">As of </w:t>
      </w:r>
      <w:r w:rsidR="00FA0DDB" w:rsidRPr="0055272E">
        <w:rPr>
          <w:color w:val="215868" w:themeColor="accent5" w:themeShade="80"/>
          <w:sz w:val="23"/>
          <w:szCs w:val="23"/>
        </w:rPr>
        <w:t xml:space="preserve">January 1, 2015, </w:t>
      </w:r>
      <w:r w:rsidR="00E129D8" w:rsidRPr="0055272E">
        <w:rPr>
          <w:color w:val="215868" w:themeColor="accent5" w:themeShade="80"/>
          <w:sz w:val="23"/>
          <w:szCs w:val="23"/>
        </w:rPr>
        <w:t xml:space="preserve">licensed </w:t>
      </w:r>
      <w:r w:rsidR="00FA0DDB" w:rsidRPr="0055272E">
        <w:rPr>
          <w:color w:val="215868" w:themeColor="accent5" w:themeShade="80"/>
          <w:sz w:val="23"/>
          <w:szCs w:val="23"/>
        </w:rPr>
        <w:t xml:space="preserve">pharmacists have the discretion to </w:t>
      </w:r>
      <w:r w:rsidR="00FA0DDB" w:rsidRPr="0055272E">
        <w:rPr>
          <w:b/>
          <w:color w:val="215868" w:themeColor="accent5" w:themeShade="80"/>
          <w:sz w:val="23"/>
          <w:szCs w:val="23"/>
        </w:rPr>
        <w:t>sell hypodermic needles and syringes</w:t>
      </w:r>
      <w:r w:rsidR="00F737D6">
        <w:rPr>
          <w:color w:val="215868" w:themeColor="accent5" w:themeShade="80"/>
          <w:sz w:val="23"/>
          <w:szCs w:val="23"/>
        </w:rPr>
        <w:t xml:space="preserve"> to adults age </w:t>
      </w:r>
      <w:r w:rsidR="00FA0DDB" w:rsidRPr="0055272E">
        <w:rPr>
          <w:color w:val="215868" w:themeColor="accent5" w:themeShade="80"/>
          <w:sz w:val="23"/>
          <w:szCs w:val="23"/>
        </w:rPr>
        <w:t xml:space="preserve">18 </w:t>
      </w:r>
      <w:r w:rsidR="00F737D6">
        <w:rPr>
          <w:color w:val="215868" w:themeColor="accent5" w:themeShade="80"/>
          <w:sz w:val="23"/>
          <w:szCs w:val="23"/>
        </w:rPr>
        <w:t xml:space="preserve">and older </w:t>
      </w:r>
      <w:r w:rsidR="00FA0DDB" w:rsidRPr="0055272E">
        <w:rPr>
          <w:color w:val="215868" w:themeColor="accent5" w:themeShade="80"/>
          <w:sz w:val="23"/>
          <w:szCs w:val="23"/>
        </w:rPr>
        <w:t>without a prescription</w:t>
      </w:r>
      <w:r w:rsidR="00F737D6">
        <w:rPr>
          <w:color w:val="215868" w:themeColor="accent5" w:themeShade="80"/>
          <w:sz w:val="23"/>
          <w:szCs w:val="23"/>
        </w:rPr>
        <w:t xml:space="preserve"> </w:t>
      </w:r>
      <w:r>
        <w:rPr>
          <w:color w:val="215868" w:themeColor="accent5" w:themeShade="80"/>
          <w:sz w:val="23"/>
          <w:szCs w:val="23"/>
        </w:rPr>
        <w:t>to reduce the spread of HIV, hepatitis C</w:t>
      </w:r>
      <w:r w:rsidR="00F737D6">
        <w:rPr>
          <w:color w:val="215868" w:themeColor="accent5" w:themeShade="80"/>
          <w:sz w:val="23"/>
          <w:szCs w:val="23"/>
        </w:rPr>
        <w:t xml:space="preserve"> and other blood-borne diseases</w:t>
      </w:r>
      <w:r w:rsidR="00FA0DDB" w:rsidRPr="0055272E">
        <w:rPr>
          <w:color w:val="215868" w:themeColor="accent5" w:themeShade="80"/>
          <w:sz w:val="23"/>
          <w:szCs w:val="23"/>
        </w:rPr>
        <w:t xml:space="preserve">. </w:t>
      </w:r>
      <w:r w:rsidR="00FA0DDB" w:rsidRPr="0055272E">
        <w:rPr>
          <w:b/>
          <w:color w:val="215868" w:themeColor="accent5" w:themeShade="80"/>
          <w:sz w:val="23"/>
          <w:szCs w:val="23"/>
        </w:rPr>
        <w:t xml:space="preserve">There is no </w:t>
      </w:r>
      <w:r>
        <w:rPr>
          <w:b/>
          <w:color w:val="215868" w:themeColor="accent5" w:themeShade="80"/>
          <w:sz w:val="23"/>
          <w:szCs w:val="23"/>
        </w:rPr>
        <w:t xml:space="preserve">longer any </w:t>
      </w:r>
      <w:r w:rsidR="00FA0DDB" w:rsidRPr="0055272E">
        <w:rPr>
          <w:b/>
          <w:color w:val="215868" w:themeColor="accent5" w:themeShade="80"/>
          <w:sz w:val="23"/>
          <w:szCs w:val="23"/>
        </w:rPr>
        <w:t>limit</w:t>
      </w:r>
      <w:r w:rsidR="00FA0DDB" w:rsidRPr="0055272E">
        <w:rPr>
          <w:color w:val="215868" w:themeColor="accent5" w:themeShade="80"/>
          <w:sz w:val="23"/>
          <w:szCs w:val="23"/>
        </w:rPr>
        <w:t xml:space="preserve"> on the number of needles and syringes that may be sold to a customer.</w:t>
      </w:r>
    </w:p>
    <w:p w:rsidR="0055272E" w:rsidRDefault="0055272E" w:rsidP="0055272E">
      <w:pPr>
        <w:spacing w:after="0"/>
        <w:rPr>
          <w:color w:val="215868" w:themeColor="accent5" w:themeShade="80"/>
          <w:sz w:val="23"/>
          <w:szCs w:val="23"/>
        </w:rPr>
      </w:pPr>
      <w:r>
        <w:rPr>
          <w:b/>
          <w:color w:val="215868" w:themeColor="accent5" w:themeShade="80"/>
          <w:sz w:val="23"/>
          <w:szCs w:val="23"/>
        </w:rPr>
        <w:t xml:space="preserve">Adults age 18 and older </w:t>
      </w:r>
      <w:r>
        <w:rPr>
          <w:color w:val="215868" w:themeColor="accent5" w:themeShade="80"/>
          <w:sz w:val="23"/>
          <w:szCs w:val="23"/>
        </w:rPr>
        <w:t>may possess needles and syringes for personal use if acquired from a p</w:t>
      </w:r>
      <w:r w:rsidR="00650D76">
        <w:rPr>
          <w:color w:val="215868" w:themeColor="accent5" w:themeShade="80"/>
          <w:sz w:val="23"/>
          <w:szCs w:val="23"/>
        </w:rPr>
        <w:t xml:space="preserve">harmacy, physician or </w:t>
      </w:r>
      <w:r w:rsidR="009272F8">
        <w:rPr>
          <w:color w:val="215868" w:themeColor="accent5" w:themeShade="80"/>
          <w:sz w:val="23"/>
          <w:szCs w:val="23"/>
        </w:rPr>
        <w:t xml:space="preserve">authorized </w:t>
      </w:r>
      <w:r>
        <w:rPr>
          <w:color w:val="215868" w:themeColor="accent5" w:themeShade="80"/>
          <w:sz w:val="23"/>
          <w:szCs w:val="23"/>
        </w:rPr>
        <w:t xml:space="preserve">syringe exchange program. </w:t>
      </w:r>
      <w:r w:rsidRPr="0055272E">
        <w:rPr>
          <w:b/>
          <w:color w:val="215868" w:themeColor="accent5" w:themeShade="80"/>
          <w:sz w:val="23"/>
          <w:szCs w:val="23"/>
        </w:rPr>
        <w:t xml:space="preserve">There is no longer any limit </w:t>
      </w:r>
      <w:r>
        <w:rPr>
          <w:color w:val="215868" w:themeColor="accent5" w:themeShade="80"/>
          <w:sz w:val="23"/>
          <w:szCs w:val="23"/>
        </w:rPr>
        <w:t xml:space="preserve">on the number of needles and syringes that an adult may </w:t>
      </w:r>
      <w:r w:rsidR="00F737D6">
        <w:rPr>
          <w:color w:val="215868" w:themeColor="accent5" w:themeShade="80"/>
          <w:sz w:val="23"/>
          <w:szCs w:val="23"/>
        </w:rPr>
        <w:t xml:space="preserve">purchase and </w:t>
      </w:r>
      <w:r>
        <w:rPr>
          <w:color w:val="215868" w:themeColor="accent5" w:themeShade="80"/>
          <w:sz w:val="23"/>
          <w:szCs w:val="23"/>
        </w:rPr>
        <w:t>possess.</w:t>
      </w:r>
    </w:p>
    <w:p w:rsidR="0055272E" w:rsidRDefault="0055272E" w:rsidP="0055272E">
      <w:pPr>
        <w:spacing w:after="0"/>
        <w:rPr>
          <w:color w:val="215868" w:themeColor="accent5" w:themeShade="80"/>
          <w:sz w:val="23"/>
          <w:szCs w:val="23"/>
        </w:rPr>
      </w:pPr>
    </w:p>
    <w:p w:rsidR="00650D76" w:rsidRDefault="009272F8" w:rsidP="0055272E">
      <w:pPr>
        <w:spacing w:after="0"/>
        <w:rPr>
          <w:color w:val="215868" w:themeColor="accent5" w:themeShade="80"/>
          <w:sz w:val="23"/>
          <w:szCs w:val="23"/>
        </w:rPr>
      </w:pPr>
      <w:r>
        <w:rPr>
          <w:color w:val="215868" w:themeColor="accent5" w:themeShade="80"/>
          <w:sz w:val="23"/>
          <w:szCs w:val="23"/>
        </w:rPr>
        <w:t xml:space="preserve">These changes to California law were made by </w:t>
      </w:r>
      <w:r w:rsidR="00AC446E">
        <w:rPr>
          <w:color w:val="215868" w:themeColor="accent5" w:themeShade="80"/>
          <w:sz w:val="23"/>
          <w:szCs w:val="23"/>
        </w:rPr>
        <w:t>Assembly Bill 1743 (Ting,</w:t>
      </w:r>
      <w:r w:rsidR="00255161">
        <w:rPr>
          <w:color w:val="215868" w:themeColor="accent5" w:themeShade="80"/>
          <w:sz w:val="23"/>
          <w:szCs w:val="23"/>
        </w:rPr>
        <w:t xml:space="preserve"> </w:t>
      </w:r>
      <w:r w:rsidR="00255161" w:rsidRPr="00255161">
        <w:rPr>
          <w:color w:val="215868" w:themeColor="accent5" w:themeShade="80"/>
          <w:sz w:val="23"/>
          <w:szCs w:val="23"/>
        </w:rPr>
        <w:t>Chapter 331</w:t>
      </w:r>
      <w:r w:rsidR="00255161">
        <w:rPr>
          <w:color w:val="215868" w:themeColor="accent5" w:themeShade="80"/>
          <w:sz w:val="23"/>
          <w:szCs w:val="23"/>
        </w:rPr>
        <w:t xml:space="preserve">, </w:t>
      </w:r>
      <w:r w:rsidR="00AC446E">
        <w:rPr>
          <w:color w:val="215868" w:themeColor="accent5" w:themeShade="80"/>
          <w:sz w:val="23"/>
          <w:szCs w:val="23"/>
        </w:rPr>
        <w:t xml:space="preserve"> Statutes of 2014)</w:t>
      </w:r>
      <w:r>
        <w:rPr>
          <w:color w:val="215868" w:themeColor="accent5" w:themeShade="80"/>
          <w:sz w:val="23"/>
          <w:szCs w:val="23"/>
        </w:rPr>
        <w:t>.</w:t>
      </w:r>
      <w:r w:rsidR="00AC446E">
        <w:rPr>
          <w:color w:val="215868" w:themeColor="accent5" w:themeShade="80"/>
          <w:sz w:val="23"/>
          <w:szCs w:val="23"/>
        </w:rPr>
        <w:t xml:space="preserve"> </w:t>
      </w:r>
      <w:r>
        <w:rPr>
          <w:color w:val="215868" w:themeColor="accent5" w:themeShade="80"/>
          <w:sz w:val="23"/>
          <w:szCs w:val="23"/>
        </w:rPr>
        <w:t xml:space="preserve">The relevant sections of </w:t>
      </w:r>
      <w:r w:rsidR="0055272E">
        <w:rPr>
          <w:color w:val="215868" w:themeColor="accent5" w:themeShade="80"/>
          <w:sz w:val="23"/>
          <w:szCs w:val="23"/>
        </w:rPr>
        <w:t>California Business and Professions Code and Health and Safety</w:t>
      </w:r>
      <w:r w:rsidR="00AC446E">
        <w:rPr>
          <w:color w:val="215868" w:themeColor="accent5" w:themeShade="80"/>
          <w:sz w:val="23"/>
          <w:szCs w:val="23"/>
        </w:rPr>
        <w:t xml:space="preserve"> </w:t>
      </w:r>
      <w:r w:rsidR="00650D76">
        <w:rPr>
          <w:color w:val="215868" w:themeColor="accent5" w:themeShade="80"/>
          <w:sz w:val="23"/>
          <w:szCs w:val="23"/>
        </w:rPr>
        <w:t>Code</w:t>
      </w:r>
      <w:r>
        <w:rPr>
          <w:color w:val="215868" w:themeColor="accent5" w:themeShade="80"/>
          <w:sz w:val="23"/>
          <w:szCs w:val="23"/>
        </w:rPr>
        <w:t xml:space="preserve"> now read</w:t>
      </w:r>
      <w:r w:rsidR="00650D76">
        <w:rPr>
          <w:color w:val="215868" w:themeColor="accent5" w:themeShade="80"/>
          <w:sz w:val="23"/>
          <w:szCs w:val="23"/>
        </w:rPr>
        <w:t>:</w:t>
      </w:r>
    </w:p>
    <w:p w:rsidR="002A2054" w:rsidRDefault="002A2054" w:rsidP="0055272E">
      <w:pPr>
        <w:spacing w:after="0"/>
        <w:rPr>
          <w:color w:val="215868" w:themeColor="accent5" w:themeShade="80"/>
          <w:sz w:val="23"/>
          <w:szCs w:val="23"/>
        </w:rPr>
      </w:pPr>
    </w:p>
    <w:p w:rsidR="002A2054" w:rsidRPr="0055272E" w:rsidRDefault="002A2054" w:rsidP="002A2054">
      <w:pPr>
        <w:spacing w:after="0" w:line="240" w:lineRule="auto"/>
        <w:ind w:left="720" w:right="720"/>
        <w:textAlignment w:val="baseline"/>
        <w:rPr>
          <w:rFonts w:ascii="Times New Roman" w:eastAsia="Times New Roman" w:hAnsi="Times New Roman" w:cs="Times New Roman"/>
          <w:b/>
          <w:bCs/>
          <w:color w:val="000000"/>
          <w:sz w:val="20"/>
          <w:szCs w:val="20"/>
        </w:rPr>
      </w:pPr>
      <w:r w:rsidRPr="0055272E">
        <w:rPr>
          <w:rFonts w:ascii="Times New Roman" w:eastAsia="Times New Roman" w:hAnsi="Times New Roman" w:cs="Times New Roman"/>
          <w:b/>
          <w:color w:val="333333"/>
          <w:sz w:val="20"/>
          <w:szCs w:val="20"/>
        </w:rPr>
        <w:t xml:space="preserve">California Business and Professions Code Section </w:t>
      </w:r>
      <w:r w:rsidRPr="0055272E">
        <w:rPr>
          <w:rFonts w:ascii="Times New Roman" w:eastAsia="Times New Roman" w:hAnsi="Times New Roman" w:cs="Times New Roman"/>
          <w:b/>
          <w:bCs/>
          <w:color w:val="000000"/>
          <w:sz w:val="20"/>
          <w:szCs w:val="20"/>
        </w:rPr>
        <w:t>4145.5</w:t>
      </w:r>
      <w:r>
        <w:rPr>
          <w:rFonts w:ascii="Times New Roman" w:eastAsia="Times New Roman" w:hAnsi="Times New Roman" w:cs="Times New Roman"/>
          <w:b/>
          <w:bCs/>
          <w:color w:val="000000"/>
          <w:sz w:val="20"/>
          <w:szCs w:val="20"/>
        </w:rPr>
        <w:t>(b)</w:t>
      </w:r>
      <w:r w:rsidRPr="0055272E">
        <w:rPr>
          <w:rFonts w:ascii="Times New Roman" w:eastAsia="Times New Roman" w:hAnsi="Times New Roman" w:cs="Times New Roman"/>
          <w:b/>
          <w:bCs/>
          <w:color w:val="000000"/>
          <w:sz w:val="20"/>
          <w:szCs w:val="20"/>
        </w:rPr>
        <w:t>:</w:t>
      </w:r>
    </w:p>
    <w:p w:rsidR="002A2054" w:rsidRPr="0055272E" w:rsidRDefault="002A2054" w:rsidP="002A2054">
      <w:pPr>
        <w:spacing w:line="240" w:lineRule="auto"/>
        <w:ind w:left="720" w:right="720"/>
        <w:textAlignment w:val="baseline"/>
        <w:rPr>
          <w:rFonts w:ascii="Times New Roman" w:eastAsia="Times New Roman" w:hAnsi="Times New Roman" w:cs="Times New Roman"/>
          <w:color w:val="333333"/>
          <w:sz w:val="20"/>
          <w:szCs w:val="20"/>
        </w:rPr>
      </w:pPr>
      <w:r w:rsidRPr="0055272E">
        <w:rPr>
          <w:rFonts w:ascii="Times New Roman" w:eastAsia="Times New Roman" w:hAnsi="Times New Roman" w:cs="Times New Roman"/>
          <w:color w:val="333333"/>
          <w:sz w:val="20"/>
          <w:szCs w:val="20"/>
          <w:bdr w:val="none" w:sz="0" w:space="0" w:color="auto" w:frame="1"/>
        </w:rPr>
        <w:t>Notwithstanding any other provision of law and until January 1, 2021,</w:t>
      </w:r>
      <w:r w:rsidRPr="0055272E">
        <w:rPr>
          <w:rFonts w:ascii="Times New Roman" w:eastAsia="Times New Roman" w:hAnsi="Times New Roman" w:cs="Times New Roman"/>
          <w:i/>
          <w:iCs/>
          <w:color w:val="0000FF"/>
          <w:sz w:val="20"/>
          <w:szCs w:val="20"/>
          <w:bdr w:val="none" w:sz="0" w:space="0" w:color="auto" w:frame="1"/>
        </w:rPr>
        <w:t xml:space="preserve"> </w:t>
      </w:r>
      <w:r w:rsidRPr="0055272E">
        <w:rPr>
          <w:rFonts w:ascii="Times New Roman" w:eastAsia="Times New Roman" w:hAnsi="Times New Roman" w:cs="Times New Roman"/>
          <w:color w:val="333333"/>
          <w:sz w:val="20"/>
          <w:szCs w:val="20"/>
          <w:bdr w:val="none" w:sz="0" w:space="0" w:color="auto" w:frame="1"/>
        </w:rPr>
        <w:t xml:space="preserve">as a public health measure intended to prevent the transmission of HIV, viral hepatitis, and other bloodborne diseases among persons who use syringes and hypodermic needles, and to prevent subsequent infection of sexual partners, newborn children, or other persons, a physician or pharmacist may, without a prescription or a permit, furnish hypodermic needles and syringes for human use to a person 18 years of age or older, and </w:t>
      </w:r>
      <w:r w:rsidRPr="0055272E">
        <w:rPr>
          <w:rFonts w:ascii="Times New Roman" w:eastAsia="Times New Roman" w:hAnsi="Times New Roman" w:cs="Times New Roman"/>
          <w:b/>
          <w:color w:val="333333"/>
          <w:sz w:val="20"/>
          <w:szCs w:val="20"/>
          <w:bdr w:val="none" w:sz="0" w:space="0" w:color="auto" w:frame="1"/>
        </w:rPr>
        <w:t>a person 18 years of age or older may, without a prescription or license, obtain hypodermic needles and syringes solely for personal use from a physician or pharmacist</w:t>
      </w:r>
      <w:r w:rsidRPr="0055272E">
        <w:rPr>
          <w:rFonts w:ascii="Times New Roman" w:eastAsia="Times New Roman" w:hAnsi="Times New Roman" w:cs="Times New Roman"/>
          <w:color w:val="333333"/>
          <w:sz w:val="20"/>
          <w:szCs w:val="20"/>
          <w:bdr w:val="none" w:sz="0" w:space="0" w:color="auto" w:frame="1"/>
        </w:rPr>
        <w:t>.</w:t>
      </w:r>
    </w:p>
    <w:p w:rsidR="002A2054" w:rsidRPr="0055272E" w:rsidRDefault="002A2054" w:rsidP="002A2054">
      <w:pPr>
        <w:spacing w:after="0" w:line="240" w:lineRule="auto"/>
        <w:ind w:left="720" w:right="720"/>
        <w:textAlignment w:val="baseline"/>
        <w:rPr>
          <w:rFonts w:ascii="Times New Roman" w:eastAsia="Times New Roman" w:hAnsi="Times New Roman" w:cs="Times New Roman"/>
          <w:b/>
          <w:color w:val="333333"/>
          <w:sz w:val="20"/>
          <w:szCs w:val="20"/>
        </w:rPr>
      </w:pPr>
    </w:p>
    <w:p w:rsidR="002A2054" w:rsidRPr="0055272E" w:rsidRDefault="002A2054" w:rsidP="002A2054">
      <w:pPr>
        <w:spacing w:after="0" w:line="240" w:lineRule="auto"/>
        <w:ind w:left="720" w:right="720"/>
        <w:textAlignment w:val="baseline"/>
        <w:rPr>
          <w:rFonts w:ascii="Times New Roman" w:eastAsia="Times New Roman" w:hAnsi="Times New Roman" w:cs="Times New Roman"/>
          <w:b/>
          <w:color w:val="333333"/>
          <w:sz w:val="20"/>
          <w:szCs w:val="20"/>
        </w:rPr>
      </w:pPr>
      <w:r w:rsidRPr="0055272E">
        <w:rPr>
          <w:rFonts w:ascii="Times New Roman" w:eastAsia="Times New Roman" w:hAnsi="Times New Roman" w:cs="Times New Roman"/>
          <w:b/>
          <w:color w:val="333333"/>
          <w:sz w:val="20"/>
          <w:szCs w:val="20"/>
        </w:rPr>
        <w:t>California Health and Safety Code Section 11364:</w:t>
      </w:r>
    </w:p>
    <w:p w:rsidR="002A2054" w:rsidRDefault="002A2054" w:rsidP="002A2054">
      <w:pPr>
        <w:spacing w:after="0" w:line="240" w:lineRule="auto"/>
        <w:ind w:left="720" w:right="720"/>
        <w:textAlignment w:val="baseline"/>
        <w:rPr>
          <w:rFonts w:ascii="Times New Roman" w:eastAsia="Times New Roman" w:hAnsi="Times New Roman" w:cs="Times New Roman"/>
          <w:color w:val="333333"/>
          <w:sz w:val="20"/>
          <w:szCs w:val="20"/>
          <w:bdr w:val="none" w:sz="0" w:space="0" w:color="auto" w:frame="1"/>
        </w:rPr>
      </w:pPr>
      <w:r w:rsidRPr="0055272E">
        <w:rPr>
          <w:rFonts w:ascii="Times New Roman" w:eastAsia="Times New Roman" w:hAnsi="Times New Roman" w:cs="Times New Roman"/>
          <w:color w:val="333333"/>
          <w:sz w:val="20"/>
          <w:szCs w:val="20"/>
          <w:bdr w:val="none" w:sz="0" w:space="0" w:color="auto" w:frame="1"/>
        </w:rPr>
        <w:t>(a) It is unlawful to possess an opium pipe or any device, contrivance, instrument, or paraphernalia used for unlawfully</w:t>
      </w:r>
      <w:r>
        <w:rPr>
          <w:rFonts w:ascii="Times New Roman" w:eastAsia="Times New Roman" w:hAnsi="Times New Roman" w:cs="Times New Roman"/>
          <w:color w:val="333333"/>
          <w:sz w:val="20"/>
          <w:szCs w:val="20"/>
          <w:bdr w:val="none" w:sz="0" w:space="0" w:color="auto" w:frame="1"/>
        </w:rPr>
        <w:t xml:space="preserve"> injecting or sm</w:t>
      </w:r>
      <w:r w:rsidRPr="0055272E">
        <w:rPr>
          <w:rFonts w:ascii="Times New Roman" w:eastAsia="Times New Roman" w:hAnsi="Times New Roman" w:cs="Times New Roman"/>
          <w:color w:val="333333"/>
          <w:sz w:val="20"/>
          <w:szCs w:val="20"/>
          <w:bdr w:val="none" w:sz="0" w:space="0" w:color="auto" w:frame="1"/>
        </w:rPr>
        <w:t xml:space="preserve">oking </w:t>
      </w:r>
      <w:r w:rsidRPr="00AC446E">
        <w:rPr>
          <w:rFonts w:ascii="Times New Roman" w:eastAsia="Times New Roman" w:hAnsi="Times New Roman" w:cs="Times New Roman"/>
          <w:color w:val="333333"/>
          <w:sz w:val="20"/>
          <w:szCs w:val="20"/>
          <w:bdr w:val="none" w:sz="0" w:space="0" w:color="auto" w:frame="1"/>
        </w:rPr>
        <w:t>(1) a controlled substance specified in subdivision (b), (c), or (e) or paragraph (1) of subdivision (f) of Section 11054, specified in paragraph (14), (15), or (20) of subdivision (d) of Section 11054, specified in subdivision (b) or (c) of Section 11055, or specified in paragraph (2) of subdivision (d) of Section 11055, or (2) a controlled substance that  is a narcotic drug classified in Schedule III, IV, or V.</w:t>
      </w:r>
    </w:p>
    <w:p w:rsidR="002A2054" w:rsidRDefault="002A2054" w:rsidP="002A2054">
      <w:pPr>
        <w:spacing w:after="0" w:line="240" w:lineRule="auto"/>
        <w:ind w:left="720" w:right="720"/>
        <w:textAlignment w:val="baseline"/>
        <w:rPr>
          <w:rFonts w:ascii="Times New Roman" w:eastAsia="Times New Roman" w:hAnsi="Times New Roman" w:cs="Times New Roman"/>
          <w:color w:val="333333"/>
          <w:sz w:val="20"/>
          <w:szCs w:val="20"/>
          <w:bdr w:val="none" w:sz="0" w:space="0" w:color="auto" w:frame="1"/>
        </w:rPr>
      </w:pPr>
      <w:r w:rsidRPr="0055272E">
        <w:rPr>
          <w:rFonts w:ascii="Times New Roman" w:eastAsia="Times New Roman" w:hAnsi="Times New Roman" w:cs="Times New Roman"/>
          <w:color w:val="333333"/>
          <w:sz w:val="20"/>
          <w:szCs w:val="20"/>
          <w:bdr w:val="none" w:sz="0" w:space="0" w:color="auto" w:frame="1"/>
        </w:rPr>
        <w:t>(b) This section shall not apply to hypodermic needles or syringes that have been containerized for safe disposal in a container that meets state and federal standards for disposal of sharps waste.</w:t>
      </w:r>
      <w:r>
        <w:rPr>
          <w:rFonts w:ascii="Times New Roman" w:eastAsia="Times New Roman" w:hAnsi="Times New Roman" w:cs="Times New Roman"/>
          <w:color w:val="333333"/>
          <w:sz w:val="20"/>
          <w:szCs w:val="20"/>
          <w:bdr w:val="none" w:sz="0" w:space="0" w:color="auto" w:frame="1"/>
        </w:rPr>
        <w:t xml:space="preserve">                 </w:t>
      </w:r>
    </w:p>
    <w:p w:rsidR="002A2054" w:rsidRDefault="002A2054" w:rsidP="002A2054">
      <w:pPr>
        <w:spacing w:after="0" w:line="240" w:lineRule="auto"/>
        <w:ind w:left="720" w:right="720"/>
        <w:textAlignment w:val="baseline"/>
        <w:rPr>
          <w:rFonts w:ascii="Times New Roman" w:eastAsia="Times New Roman" w:hAnsi="Times New Roman" w:cs="Times New Roman"/>
          <w:color w:val="333333"/>
          <w:sz w:val="20"/>
          <w:szCs w:val="20"/>
          <w:bdr w:val="none" w:sz="0" w:space="0" w:color="auto" w:frame="1"/>
        </w:rPr>
      </w:pPr>
      <w:r w:rsidRPr="0055272E">
        <w:rPr>
          <w:rFonts w:ascii="Times New Roman" w:eastAsia="Times New Roman" w:hAnsi="Times New Roman" w:cs="Times New Roman"/>
          <w:color w:val="333333"/>
          <w:sz w:val="20"/>
          <w:szCs w:val="20"/>
          <w:bdr w:val="none" w:sz="0" w:space="0" w:color="auto" w:frame="1"/>
        </w:rPr>
        <w:t>(c) </w:t>
      </w:r>
      <w:r w:rsidRPr="0055272E">
        <w:rPr>
          <w:rFonts w:ascii="Times New Roman" w:eastAsia="Times New Roman" w:hAnsi="Times New Roman" w:cs="Times New Roman"/>
          <w:i/>
          <w:iCs/>
          <w:color w:val="0000FF"/>
          <w:sz w:val="20"/>
          <w:szCs w:val="20"/>
          <w:bdr w:val="none" w:sz="0" w:space="0" w:color="auto" w:frame="1"/>
        </w:rPr>
        <w:t xml:space="preserve"> </w:t>
      </w:r>
      <w:r w:rsidRPr="0055272E">
        <w:rPr>
          <w:rFonts w:ascii="Times New Roman" w:eastAsia="Times New Roman" w:hAnsi="Times New Roman" w:cs="Times New Roman"/>
          <w:color w:val="333333"/>
          <w:sz w:val="20"/>
          <w:szCs w:val="20"/>
          <w:bdr w:val="none" w:sz="0" w:space="0" w:color="auto" w:frame="1"/>
        </w:rPr>
        <w:t xml:space="preserve">Until January 1, 2021, as a public health measure intended to prevent the transmission of HIV, viral hepatitis, and other bloodborne diseases among persons who use syringes and hypodermic needles, and to prevent subsequent infection of sexual partners, newborn children, or other persons, </w:t>
      </w:r>
      <w:r w:rsidRPr="0055272E">
        <w:rPr>
          <w:rFonts w:ascii="Times New Roman" w:eastAsia="Times New Roman" w:hAnsi="Times New Roman" w:cs="Times New Roman"/>
          <w:b/>
          <w:color w:val="333333"/>
          <w:sz w:val="20"/>
          <w:szCs w:val="20"/>
          <w:bdr w:val="none" w:sz="0" w:space="0" w:color="auto" w:frame="1"/>
        </w:rPr>
        <w:t>this section  shall not apply to the possession solely for personal use of hypodermic needles or syringes if acquired from a physician, pharmacist, hypodermic needle and syringe exchange program,</w:t>
      </w:r>
      <w:r w:rsidRPr="0055272E">
        <w:rPr>
          <w:rFonts w:ascii="Times New Roman" w:eastAsia="Times New Roman" w:hAnsi="Times New Roman" w:cs="Times New Roman"/>
          <w:color w:val="333333"/>
          <w:sz w:val="20"/>
          <w:szCs w:val="20"/>
          <w:bdr w:val="none" w:sz="0" w:space="0" w:color="auto" w:frame="1"/>
        </w:rPr>
        <w:t xml:space="preserve"> or any other source that is authorized by law to provide sterile syringes or hypodermic needles without a prescription. </w:t>
      </w:r>
    </w:p>
    <w:p w:rsidR="002A2054" w:rsidRDefault="002A2054" w:rsidP="0055272E">
      <w:pPr>
        <w:spacing w:after="0"/>
        <w:rPr>
          <w:color w:val="215868" w:themeColor="accent5" w:themeShade="80"/>
          <w:sz w:val="23"/>
          <w:szCs w:val="23"/>
        </w:rPr>
      </w:pPr>
    </w:p>
    <w:p w:rsidR="00650D76" w:rsidRPr="0055272E" w:rsidRDefault="00650D76" w:rsidP="00F737D6">
      <w:pPr>
        <w:rPr>
          <w:color w:val="215868" w:themeColor="accent5" w:themeShade="80"/>
          <w:sz w:val="23"/>
          <w:szCs w:val="23"/>
        </w:rPr>
      </w:pPr>
      <w:r>
        <w:rPr>
          <w:color w:val="215868" w:themeColor="accent5" w:themeShade="80"/>
          <w:sz w:val="23"/>
          <w:szCs w:val="23"/>
        </w:rPr>
        <w:lastRenderedPageBreak/>
        <w:t xml:space="preserve">The California Department of Public Health, Office of AIDS has posted materials for syringe exchange programs, pharmacies and law enforcement at </w:t>
      </w:r>
      <w:hyperlink r:id="rId9" w:history="1">
        <w:r w:rsidRPr="009739CF">
          <w:rPr>
            <w:rStyle w:val="Hyperlink"/>
            <w:sz w:val="23"/>
            <w:szCs w:val="23"/>
          </w:rPr>
          <w:t>www.cdph.ca.gov/syringeaccess</w:t>
        </w:r>
      </w:hyperlink>
      <w:r>
        <w:rPr>
          <w:color w:val="215868" w:themeColor="accent5" w:themeShade="80"/>
          <w:sz w:val="23"/>
          <w:szCs w:val="23"/>
        </w:rPr>
        <w:t>.</w:t>
      </w:r>
    </w:p>
    <w:sectPr w:rsidR="00650D76" w:rsidRPr="0055272E" w:rsidSect="00AB6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1E" w:rsidRDefault="00A2541E" w:rsidP="00790914">
      <w:pPr>
        <w:spacing w:after="0" w:line="240" w:lineRule="auto"/>
      </w:pPr>
      <w:r>
        <w:separator/>
      </w:r>
    </w:p>
  </w:endnote>
  <w:endnote w:type="continuationSeparator" w:id="0">
    <w:p w:rsidR="00A2541E" w:rsidRDefault="00A2541E" w:rsidP="0079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1E" w:rsidRDefault="00A2541E" w:rsidP="00790914">
      <w:pPr>
        <w:spacing w:after="0" w:line="240" w:lineRule="auto"/>
      </w:pPr>
      <w:r>
        <w:separator/>
      </w:r>
    </w:p>
  </w:footnote>
  <w:footnote w:type="continuationSeparator" w:id="0">
    <w:p w:rsidR="00A2541E" w:rsidRDefault="00A2541E" w:rsidP="00790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521A"/>
    <w:multiLevelType w:val="hybridMultilevel"/>
    <w:tmpl w:val="A0F8F9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870CDB"/>
    <w:multiLevelType w:val="hybridMultilevel"/>
    <w:tmpl w:val="C770B1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A8826A8"/>
    <w:multiLevelType w:val="hybridMultilevel"/>
    <w:tmpl w:val="7BF0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461CAF"/>
    <w:multiLevelType w:val="hybridMultilevel"/>
    <w:tmpl w:val="262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F3D26"/>
    <w:multiLevelType w:val="hybridMultilevel"/>
    <w:tmpl w:val="85E6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01C7D"/>
    <w:multiLevelType w:val="hybridMultilevel"/>
    <w:tmpl w:val="ABE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26480"/>
    <w:multiLevelType w:val="hybridMultilevel"/>
    <w:tmpl w:val="7FDEF8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5F288F"/>
    <w:multiLevelType w:val="hybridMultilevel"/>
    <w:tmpl w:val="365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C23A6"/>
    <w:multiLevelType w:val="hybridMultilevel"/>
    <w:tmpl w:val="A8680D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2DF763B"/>
    <w:multiLevelType w:val="hybridMultilevel"/>
    <w:tmpl w:val="2CA4E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4E525BE"/>
    <w:multiLevelType w:val="hybridMultilevel"/>
    <w:tmpl w:val="2E6C2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4C1C9D"/>
    <w:multiLevelType w:val="hybridMultilevel"/>
    <w:tmpl w:val="378C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F058E"/>
    <w:multiLevelType w:val="hybridMultilevel"/>
    <w:tmpl w:val="8E2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75AA4"/>
    <w:multiLevelType w:val="hybridMultilevel"/>
    <w:tmpl w:val="FD9CF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713B17"/>
    <w:multiLevelType w:val="hybridMultilevel"/>
    <w:tmpl w:val="64AEF5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42D079A4"/>
    <w:multiLevelType w:val="hybridMultilevel"/>
    <w:tmpl w:val="A822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BE596C"/>
    <w:multiLevelType w:val="hybridMultilevel"/>
    <w:tmpl w:val="7BD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F25E3"/>
    <w:multiLevelType w:val="hybridMultilevel"/>
    <w:tmpl w:val="543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E6029"/>
    <w:multiLevelType w:val="hybridMultilevel"/>
    <w:tmpl w:val="9F0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E2DF8"/>
    <w:multiLevelType w:val="hybridMultilevel"/>
    <w:tmpl w:val="82406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BC1D99"/>
    <w:multiLevelType w:val="hybridMultilevel"/>
    <w:tmpl w:val="4AF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D03E1"/>
    <w:multiLevelType w:val="hybridMultilevel"/>
    <w:tmpl w:val="EFE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F3CEA"/>
    <w:multiLevelType w:val="hybridMultilevel"/>
    <w:tmpl w:val="8F1A3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F55A65"/>
    <w:multiLevelType w:val="hybridMultilevel"/>
    <w:tmpl w:val="5640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2C2B1C"/>
    <w:multiLevelType w:val="hybridMultilevel"/>
    <w:tmpl w:val="1FDC87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D80515A"/>
    <w:multiLevelType w:val="hybridMultilevel"/>
    <w:tmpl w:val="73BA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FBF63FB"/>
    <w:multiLevelType w:val="hybridMultilevel"/>
    <w:tmpl w:val="24008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B67858"/>
    <w:multiLevelType w:val="hybridMultilevel"/>
    <w:tmpl w:val="2B4A0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293E45"/>
    <w:multiLevelType w:val="hybridMultilevel"/>
    <w:tmpl w:val="3B7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F1BFE"/>
    <w:multiLevelType w:val="hybridMultilevel"/>
    <w:tmpl w:val="197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C5099"/>
    <w:multiLevelType w:val="hybridMultilevel"/>
    <w:tmpl w:val="89AAC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49706F"/>
    <w:multiLevelType w:val="hybridMultilevel"/>
    <w:tmpl w:val="B0346DDE"/>
    <w:lvl w:ilvl="0" w:tplc="6366B4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333B22"/>
    <w:multiLevelType w:val="hybridMultilevel"/>
    <w:tmpl w:val="5A40E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8"/>
  </w:num>
  <w:num w:numId="3">
    <w:abstractNumId w:val="17"/>
  </w:num>
  <w:num w:numId="4">
    <w:abstractNumId w:val="20"/>
  </w:num>
  <w:num w:numId="5">
    <w:abstractNumId w:val="23"/>
  </w:num>
  <w:num w:numId="6">
    <w:abstractNumId w:val="2"/>
  </w:num>
  <w:num w:numId="7">
    <w:abstractNumId w:val="9"/>
  </w:num>
  <w:num w:numId="8">
    <w:abstractNumId w:val="11"/>
  </w:num>
  <w:num w:numId="9">
    <w:abstractNumId w:val="0"/>
  </w:num>
  <w:num w:numId="10">
    <w:abstractNumId w:val="19"/>
  </w:num>
  <w:num w:numId="11">
    <w:abstractNumId w:val="13"/>
  </w:num>
  <w:num w:numId="12">
    <w:abstractNumId w:val="24"/>
  </w:num>
  <w:num w:numId="13">
    <w:abstractNumId w:val="14"/>
  </w:num>
  <w:num w:numId="14">
    <w:abstractNumId w:val="1"/>
  </w:num>
  <w:num w:numId="15">
    <w:abstractNumId w:val="6"/>
  </w:num>
  <w:num w:numId="16">
    <w:abstractNumId w:val="31"/>
  </w:num>
  <w:num w:numId="17">
    <w:abstractNumId w:val="8"/>
  </w:num>
  <w:num w:numId="18">
    <w:abstractNumId w:val="26"/>
  </w:num>
  <w:num w:numId="19">
    <w:abstractNumId w:val="27"/>
  </w:num>
  <w:num w:numId="20">
    <w:abstractNumId w:val="22"/>
  </w:num>
  <w:num w:numId="21">
    <w:abstractNumId w:val="10"/>
  </w:num>
  <w:num w:numId="22">
    <w:abstractNumId w:val="30"/>
  </w:num>
  <w:num w:numId="23">
    <w:abstractNumId w:val="3"/>
  </w:num>
  <w:num w:numId="24">
    <w:abstractNumId w:val="15"/>
  </w:num>
  <w:num w:numId="25">
    <w:abstractNumId w:val="25"/>
  </w:num>
  <w:num w:numId="26">
    <w:abstractNumId w:val="32"/>
  </w:num>
  <w:num w:numId="27">
    <w:abstractNumId w:val="5"/>
  </w:num>
  <w:num w:numId="28">
    <w:abstractNumId w:val="7"/>
  </w:num>
  <w:num w:numId="29">
    <w:abstractNumId w:val="4"/>
  </w:num>
  <w:num w:numId="30">
    <w:abstractNumId w:val="29"/>
  </w:num>
  <w:num w:numId="31">
    <w:abstractNumId w:val="28"/>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14"/>
    <w:rsid w:val="000002D6"/>
    <w:rsid w:val="00006B0C"/>
    <w:rsid w:val="00012A3B"/>
    <w:rsid w:val="00023A81"/>
    <w:rsid w:val="000522D7"/>
    <w:rsid w:val="00066C71"/>
    <w:rsid w:val="00084AD9"/>
    <w:rsid w:val="00091600"/>
    <w:rsid w:val="000E0082"/>
    <w:rsid w:val="00115271"/>
    <w:rsid w:val="001179A9"/>
    <w:rsid w:val="00152E3F"/>
    <w:rsid w:val="001A7424"/>
    <w:rsid w:val="001B4E03"/>
    <w:rsid w:val="001D5A93"/>
    <w:rsid w:val="001E1DB1"/>
    <w:rsid w:val="00245A15"/>
    <w:rsid w:val="0024638D"/>
    <w:rsid w:val="00255161"/>
    <w:rsid w:val="002A2054"/>
    <w:rsid w:val="002A4144"/>
    <w:rsid w:val="002A7C5D"/>
    <w:rsid w:val="002B0D93"/>
    <w:rsid w:val="002F6443"/>
    <w:rsid w:val="002F7915"/>
    <w:rsid w:val="003E7C9C"/>
    <w:rsid w:val="003F7E62"/>
    <w:rsid w:val="0047066C"/>
    <w:rsid w:val="0049444A"/>
    <w:rsid w:val="004A118F"/>
    <w:rsid w:val="004E1A0B"/>
    <w:rsid w:val="0055272E"/>
    <w:rsid w:val="0056588C"/>
    <w:rsid w:val="0057416B"/>
    <w:rsid w:val="005837F9"/>
    <w:rsid w:val="005A0C29"/>
    <w:rsid w:val="005A21DC"/>
    <w:rsid w:val="005B5F34"/>
    <w:rsid w:val="005F5FEC"/>
    <w:rsid w:val="0062221F"/>
    <w:rsid w:val="00632941"/>
    <w:rsid w:val="00650D76"/>
    <w:rsid w:val="00654771"/>
    <w:rsid w:val="006871D4"/>
    <w:rsid w:val="00790914"/>
    <w:rsid w:val="007F56D7"/>
    <w:rsid w:val="008241D9"/>
    <w:rsid w:val="00835B87"/>
    <w:rsid w:val="00835FE3"/>
    <w:rsid w:val="008474CC"/>
    <w:rsid w:val="008902E4"/>
    <w:rsid w:val="008A4FDE"/>
    <w:rsid w:val="008B1BA0"/>
    <w:rsid w:val="008E0397"/>
    <w:rsid w:val="008E060D"/>
    <w:rsid w:val="008E3570"/>
    <w:rsid w:val="008F55BB"/>
    <w:rsid w:val="008F5F8F"/>
    <w:rsid w:val="0092456D"/>
    <w:rsid w:val="00924A15"/>
    <w:rsid w:val="009272F8"/>
    <w:rsid w:val="009638FD"/>
    <w:rsid w:val="00985FA3"/>
    <w:rsid w:val="009B6C13"/>
    <w:rsid w:val="00A2541E"/>
    <w:rsid w:val="00A32C7C"/>
    <w:rsid w:val="00A73B97"/>
    <w:rsid w:val="00AA0DBB"/>
    <w:rsid w:val="00AB6F63"/>
    <w:rsid w:val="00AC35F3"/>
    <w:rsid w:val="00AC446E"/>
    <w:rsid w:val="00AC7D02"/>
    <w:rsid w:val="00B36FCB"/>
    <w:rsid w:val="00B83D8B"/>
    <w:rsid w:val="00B922E2"/>
    <w:rsid w:val="00BA05FF"/>
    <w:rsid w:val="00BB1C88"/>
    <w:rsid w:val="00BD7D7B"/>
    <w:rsid w:val="00C07AA1"/>
    <w:rsid w:val="00C126A6"/>
    <w:rsid w:val="00C371FE"/>
    <w:rsid w:val="00C60054"/>
    <w:rsid w:val="00C6375A"/>
    <w:rsid w:val="00C91C82"/>
    <w:rsid w:val="00CD2F70"/>
    <w:rsid w:val="00D13DAC"/>
    <w:rsid w:val="00DA486A"/>
    <w:rsid w:val="00DB6C44"/>
    <w:rsid w:val="00DC085D"/>
    <w:rsid w:val="00E129D8"/>
    <w:rsid w:val="00E259D6"/>
    <w:rsid w:val="00E400B1"/>
    <w:rsid w:val="00E801B3"/>
    <w:rsid w:val="00E805AA"/>
    <w:rsid w:val="00E87BF4"/>
    <w:rsid w:val="00EB780C"/>
    <w:rsid w:val="00F5130E"/>
    <w:rsid w:val="00F54F58"/>
    <w:rsid w:val="00F737D6"/>
    <w:rsid w:val="00FA0DDB"/>
    <w:rsid w:val="00FA5392"/>
    <w:rsid w:val="00FE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699A2F-7514-4F16-B6D0-99EF346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03"/>
  </w:style>
  <w:style w:type="paragraph" w:styleId="Heading1">
    <w:name w:val="heading 1"/>
    <w:basedOn w:val="Normal"/>
    <w:next w:val="Normal"/>
    <w:link w:val="Heading1Char"/>
    <w:uiPriority w:val="9"/>
    <w:qFormat/>
    <w:rsid w:val="005B5F3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14"/>
    <w:rPr>
      <w:rFonts w:ascii="Tahoma" w:hAnsi="Tahoma" w:cs="Tahoma"/>
      <w:sz w:val="16"/>
      <w:szCs w:val="16"/>
    </w:rPr>
  </w:style>
  <w:style w:type="paragraph" w:styleId="Header">
    <w:name w:val="header"/>
    <w:basedOn w:val="Normal"/>
    <w:link w:val="HeaderChar"/>
    <w:uiPriority w:val="99"/>
    <w:unhideWhenUsed/>
    <w:rsid w:val="0079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14"/>
  </w:style>
  <w:style w:type="paragraph" w:styleId="Footer">
    <w:name w:val="footer"/>
    <w:basedOn w:val="Normal"/>
    <w:link w:val="FooterChar"/>
    <w:uiPriority w:val="99"/>
    <w:unhideWhenUsed/>
    <w:rsid w:val="0079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14"/>
  </w:style>
  <w:style w:type="paragraph" w:styleId="ListParagraph">
    <w:name w:val="List Paragraph"/>
    <w:basedOn w:val="Normal"/>
    <w:uiPriority w:val="34"/>
    <w:qFormat/>
    <w:rsid w:val="004E1A0B"/>
    <w:pPr>
      <w:ind w:left="720"/>
      <w:contextualSpacing/>
    </w:pPr>
  </w:style>
  <w:style w:type="character" w:customStyle="1" w:styleId="Heading1Char">
    <w:name w:val="Heading 1 Char"/>
    <w:basedOn w:val="DefaultParagraphFont"/>
    <w:link w:val="Heading1"/>
    <w:uiPriority w:val="9"/>
    <w:rsid w:val="005B5F34"/>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5B5F34"/>
    <w:pPr>
      <w:spacing w:after="0" w:line="240" w:lineRule="auto"/>
    </w:pPr>
  </w:style>
  <w:style w:type="character" w:styleId="Hyperlink">
    <w:name w:val="Hyperlink"/>
    <w:basedOn w:val="DefaultParagraphFont"/>
    <w:uiPriority w:val="99"/>
    <w:unhideWhenUsed/>
    <w:rsid w:val="008F55BB"/>
    <w:rPr>
      <w:color w:val="0000FF" w:themeColor="hyperlink"/>
      <w:u w:val="single"/>
    </w:rPr>
  </w:style>
  <w:style w:type="character" w:styleId="CommentReference">
    <w:name w:val="annotation reference"/>
    <w:basedOn w:val="DefaultParagraphFont"/>
    <w:uiPriority w:val="99"/>
    <w:semiHidden/>
    <w:unhideWhenUsed/>
    <w:rsid w:val="0057416B"/>
    <w:rPr>
      <w:sz w:val="16"/>
      <w:szCs w:val="16"/>
    </w:rPr>
  </w:style>
  <w:style w:type="paragraph" w:styleId="CommentText">
    <w:name w:val="annotation text"/>
    <w:basedOn w:val="Normal"/>
    <w:link w:val="CommentTextChar"/>
    <w:uiPriority w:val="99"/>
    <w:semiHidden/>
    <w:unhideWhenUsed/>
    <w:rsid w:val="0057416B"/>
    <w:pPr>
      <w:spacing w:line="240" w:lineRule="auto"/>
    </w:pPr>
    <w:rPr>
      <w:sz w:val="20"/>
      <w:szCs w:val="20"/>
    </w:rPr>
  </w:style>
  <w:style w:type="character" w:customStyle="1" w:styleId="CommentTextChar">
    <w:name w:val="Comment Text Char"/>
    <w:basedOn w:val="DefaultParagraphFont"/>
    <w:link w:val="CommentText"/>
    <w:uiPriority w:val="99"/>
    <w:semiHidden/>
    <w:rsid w:val="0057416B"/>
    <w:rPr>
      <w:sz w:val="20"/>
      <w:szCs w:val="20"/>
    </w:rPr>
  </w:style>
  <w:style w:type="paragraph" w:styleId="CommentSubject">
    <w:name w:val="annotation subject"/>
    <w:basedOn w:val="CommentText"/>
    <w:next w:val="CommentText"/>
    <w:link w:val="CommentSubjectChar"/>
    <w:uiPriority w:val="99"/>
    <w:semiHidden/>
    <w:unhideWhenUsed/>
    <w:rsid w:val="0057416B"/>
    <w:rPr>
      <w:b/>
      <w:bCs/>
    </w:rPr>
  </w:style>
  <w:style w:type="character" w:customStyle="1" w:styleId="CommentSubjectChar">
    <w:name w:val="Comment Subject Char"/>
    <w:basedOn w:val="CommentTextChar"/>
    <w:link w:val="CommentSubject"/>
    <w:uiPriority w:val="99"/>
    <w:semiHidden/>
    <w:rsid w:val="0057416B"/>
    <w:rPr>
      <w:b/>
      <w:bCs/>
      <w:sz w:val="20"/>
      <w:szCs w:val="20"/>
    </w:rPr>
  </w:style>
  <w:style w:type="character" w:styleId="FollowedHyperlink">
    <w:name w:val="FollowedHyperlink"/>
    <w:basedOn w:val="DefaultParagraphFont"/>
    <w:uiPriority w:val="99"/>
    <w:semiHidden/>
    <w:unhideWhenUsed/>
    <w:rsid w:val="00C63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ph.ca.gov/syringe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4298-93FC-449C-89DF-76F0EE4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OSCAR MACIAS</cp:lastModifiedBy>
  <cp:revision>2</cp:revision>
  <cp:lastPrinted>2014-11-14T23:27:00Z</cp:lastPrinted>
  <dcterms:created xsi:type="dcterms:W3CDTF">2014-12-15T23:16:00Z</dcterms:created>
  <dcterms:modified xsi:type="dcterms:W3CDTF">2014-12-15T23:16:00Z</dcterms:modified>
</cp:coreProperties>
</file>